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5B1147" w:rsidP="00D42038">
      <w:pPr>
        <w:jc w:val="right"/>
        <w:rPr>
          <w:lang w:eastAsia="en-US"/>
        </w:rPr>
      </w:pPr>
      <w:r>
        <w:rPr>
          <w:lang w:eastAsia="en-US"/>
        </w:rPr>
        <w:t>Załącznik nr 12</w:t>
      </w:r>
      <w:r w:rsidR="00485A79">
        <w:rPr>
          <w:lang w:eastAsia="en-US"/>
        </w:rPr>
        <w:t xml:space="preserve">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w:t>
      </w:r>
      <w:r w:rsidR="00646E38">
        <w:rPr>
          <w:b/>
        </w:rPr>
        <w:t>Utwardzenie powierzchniowe drogi gminnej w Brzeźnie (al. Brzozowa – os. Kociołki)</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765C8C" w:rsidP="00765C8C">
      <w:pPr>
        <w:jc w:val="both"/>
        <w:rPr>
          <w:szCs w:val="20"/>
        </w:rPr>
      </w:pPr>
      <w:r>
        <w:t>Kody CPV: 45233220-7, 45233226-9, 45111200-0</w:t>
      </w:r>
    </w:p>
    <w:p w:rsidR="00765C8C" w:rsidRDefault="00765C8C" w:rsidP="00765C8C">
      <w:pPr>
        <w:jc w:val="both"/>
        <w:rPr>
          <w:color w:val="FF0000"/>
        </w:rPr>
      </w:pPr>
    </w:p>
    <w:p w:rsidR="00765C8C" w:rsidRDefault="00765C8C" w:rsidP="00765C8C">
      <w:pPr>
        <w:jc w:val="both"/>
      </w:pPr>
      <w:r>
        <w:t xml:space="preserve">Przedmiotem zamówienia  jest </w:t>
      </w:r>
      <w:r w:rsidR="00646E38">
        <w:rPr>
          <w:b/>
        </w:rPr>
        <w:t>utwardzenie powierzchniowe drogi gminnej w Brzeźnie (al. Brzozowa – os. Kociołki)</w:t>
      </w:r>
      <w:r w:rsidR="00D44AE5">
        <w:rPr>
          <w:b/>
        </w:rPr>
        <w:t xml:space="preserve"> - (potrójne powierzchniowe utrwalenie)</w:t>
      </w:r>
    </w:p>
    <w:p w:rsidR="00646E38" w:rsidRDefault="00646E38" w:rsidP="00646E38">
      <w:pPr>
        <w:jc w:val="both"/>
      </w:pPr>
      <w:r>
        <w:t>Zakres robót obejmuje:</w:t>
      </w:r>
    </w:p>
    <w:p w:rsidR="00646E38" w:rsidRDefault="00646E38" w:rsidP="00646E38">
      <w:pPr>
        <w:jc w:val="both"/>
      </w:pPr>
      <w:r>
        <w:t>1) utwardzenie powierzchniowe drogi gminnej w Brzeźnie na odcinku długości 808,00 m wraz ze zjazdami z drogi wojewódzkiej nr 182 i skrzyżowaniami</w:t>
      </w:r>
      <w:r w:rsidR="001B1F85">
        <w:rPr>
          <w:color w:val="FF0000"/>
        </w:rPr>
        <w:t>,</w:t>
      </w:r>
      <w:r>
        <w:t xml:space="preserve"> szerokość jezdni 5,00 m,</w:t>
      </w:r>
    </w:p>
    <w:p w:rsidR="00646E38" w:rsidRDefault="00646E38" w:rsidP="00646E38">
      <w:pPr>
        <w:jc w:val="both"/>
      </w:pPr>
      <w:r>
        <w:t>2) konstrukcja drogi: wyrównanie istniejącego profilu kruszywem kamiennym łamanym 0/31,5 mm stabilizowanym mechanicznie (kruszywo granitowe) na istniejącej podbudowie zasadniczej z kruszywa granitowego, potrójne powierzchniowe utrwalenie nawierzchni emulsją asfaltową z grysem frakcji 8/11, 5/8, 2/5.</w:t>
      </w:r>
    </w:p>
    <w:p w:rsidR="00646E38" w:rsidRDefault="00646E38" w:rsidP="00646E38">
      <w:pPr>
        <w:jc w:val="both"/>
      </w:pPr>
      <w:r>
        <w:t>3) szczegółowy</w:t>
      </w:r>
      <w:r w:rsidRPr="00D67204">
        <w:t xml:space="preserve"> zakres robót do wykonania określono </w:t>
      </w:r>
      <w:r>
        <w:t xml:space="preserve">w przedmiarze </w:t>
      </w:r>
      <w:r w:rsidR="001B1F85" w:rsidRPr="00AE4C54">
        <w:t xml:space="preserve">robót </w:t>
      </w:r>
      <w:r>
        <w:t>oraz specyfikacjach technicznych wykonania i odbioru robót.</w:t>
      </w:r>
    </w:p>
    <w:p w:rsidR="00765C8C" w:rsidRDefault="00765C8C" w:rsidP="00765C8C">
      <w:pPr>
        <w:ind w:left="708"/>
        <w:jc w:val="both"/>
      </w:pPr>
      <w:r>
        <w:t xml:space="preserve"> </w:t>
      </w:r>
    </w:p>
    <w:p w:rsidR="00765C8C" w:rsidRDefault="00765C8C" w:rsidP="00765C8C">
      <w:pPr>
        <w:jc w:val="both"/>
        <w:rPr>
          <w:u w:val="single"/>
        </w:rPr>
      </w:pPr>
    </w:p>
    <w:p w:rsidR="00AE4C54" w:rsidRDefault="00AE4C54" w:rsidP="00AE4C54">
      <w:pPr>
        <w:jc w:val="both"/>
        <w:rPr>
          <w:u w:val="single"/>
        </w:rPr>
      </w:pPr>
      <w:r>
        <w:rPr>
          <w:u w:val="single"/>
        </w:rPr>
        <w:t>Zakres zamówienia publicznego obejmuje również:</w:t>
      </w:r>
    </w:p>
    <w:p w:rsidR="00AE4C54" w:rsidRDefault="00AE4C54" w:rsidP="00AE4C54">
      <w:pPr>
        <w:jc w:val="both"/>
      </w:pPr>
      <w:r>
        <w:t>1) organizację i zabezpieczenie terenu budowy zgodnie z wymogami techniczno-prawnymi wykonanych zabezpieczeń, jak również za ich stałą sprawność techniczną, sporządzenie i zatwierdzenie projektu czasowej organizacji ruchu na czas prowadzenia robót drogowych przez Wykonawcę itp.,</w:t>
      </w:r>
    </w:p>
    <w:p w:rsidR="00AE4C54" w:rsidRDefault="00AE4C54" w:rsidP="00AE4C54">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AE4C54" w:rsidRDefault="00AE4C54" w:rsidP="00AE4C54">
      <w:pPr>
        <w:shd w:val="clear" w:color="auto" w:fill="FFFFFF"/>
        <w:tabs>
          <w:tab w:val="left" w:pos="269"/>
        </w:tabs>
        <w:ind w:right="-2"/>
        <w:jc w:val="both"/>
      </w:pPr>
      <w:r>
        <w:t>3) pełną obsługę geodezyjną przedsięwzięcia,</w:t>
      </w:r>
    </w:p>
    <w:p w:rsidR="00AE4C54" w:rsidRDefault="00AE4C54" w:rsidP="00AE4C54">
      <w:pPr>
        <w:jc w:val="both"/>
        <w:rPr>
          <w:color w:val="FF0000"/>
        </w:rPr>
      </w:pPr>
      <w:r>
        <w:t xml:space="preserve">4) wykonanie robót budowlanych zgodnie z planem sytuacyjnym załączonym do SIWZ </w:t>
      </w:r>
    </w:p>
    <w:p w:rsidR="00AE4C54" w:rsidRDefault="00AE4C54" w:rsidP="00AE4C54">
      <w:pPr>
        <w:jc w:val="both"/>
      </w:pPr>
      <w:r>
        <w:t xml:space="preserve">6) wykonanie potwierdzonych protokołami: badań nośności podbudowy po wykonaniu odtworzenia profilu drogi zgodnie z SST. </w:t>
      </w:r>
    </w:p>
    <w:p w:rsidR="00AE4C54" w:rsidRDefault="00AE4C54" w:rsidP="00AE4C54">
      <w:pPr>
        <w:jc w:val="both"/>
      </w:pPr>
      <w:r>
        <w:t>7) Wykonawca na wezwanie Zamawiającego zobowiązany jest przedłożyć dokumenty potwierdzające jakość planowanych do wbudowania materiałów,</w:t>
      </w:r>
    </w:p>
    <w:p w:rsidR="00AE4C54" w:rsidRDefault="00AE4C54" w:rsidP="00AE4C54">
      <w:pPr>
        <w:jc w:val="both"/>
      </w:pPr>
      <w:r>
        <w:t>8) przeprowadzenie pozytywnych odbiorów obiektu przez odpowiednie instytucje określone polskim ustawodawstwem,</w:t>
      </w:r>
    </w:p>
    <w:p w:rsidR="00AE4C54" w:rsidRDefault="00AE4C54" w:rsidP="00AE4C54">
      <w:pPr>
        <w:jc w:val="both"/>
      </w:pPr>
      <w:r>
        <w:t>9) wykonanie dokumentacji powykonawczej w 2 egzemplarzach.</w:t>
      </w:r>
    </w:p>
    <w:p w:rsidR="00765C8C" w:rsidRDefault="00765C8C" w:rsidP="00765C8C">
      <w:pPr>
        <w:jc w:val="both"/>
      </w:pPr>
    </w:p>
    <w:p w:rsidR="00646E38" w:rsidRDefault="00646E38" w:rsidP="00646E38">
      <w:pPr>
        <w:jc w:val="both"/>
      </w:pPr>
      <w:r>
        <w:t>Szczegółowy zakres oraz warunki wykonania przedmiotu zamówienia określają:</w:t>
      </w:r>
    </w:p>
    <w:p w:rsidR="00646E38" w:rsidRDefault="00646E38" w:rsidP="00646E38">
      <w:pPr>
        <w:widowControl/>
        <w:numPr>
          <w:ilvl w:val="0"/>
          <w:numId w:val="33"/>
        </w:numPr>
        <w:kinsoku/>
        <w:jc w:val="both"/>
      </w:pPr>
      <w:r>
        <w:lastRenderedPageBreak/>
        <w:t>Plan orientacyjny – załącznik nr 7 do SIWZ,</w:t>
      </w:r>
    </w:p>
    <w:p w:rsidR="00646E38" w:rsidRDefault="00646E38" w:rsidP="00646E38">
      <w:pPr>
        <w:widowControl/>
        <w:numPr>
          <w:ilvl w:val="0"/>
          <w:numId w:val="33"/>
        </w:numPr>
        <w:kinsoku/>
        <w:jc w:val="both"/>
      </w:pPr>
      <w:r>
        <w:t>Plan sytuacyjny – załącznik nr 8 do SIWZ,</w:t>
      </w:r>
    </w:p>
    <w:p w:rsidR="00646E38" w:rsidRDefault="00646E38" w:rsidP="00646E38">
      <w:pPr>
        <w:widowControl/>
        <w:numPr>
          <w:ilvl w:val="0"/>
          <w:numId w:val="33"/>
        </w:numPr>
        <w:kinsoku/>
        <w:jc w:val="both"/>
      </w:pPr>
      <w:r>
        <w:t>przedmiar robót – załącznik nr 9 do SIWZ,</w:t>
      </w:r>
    </w:p>
    <w:p w:rsidR="00646E38" w:rsidRDefault="00646E38" w:rsidP="00646E38">
      <w:pPr>
        <w:widowControl/>
        <w:numPr>
          <w:ilvl w:val="0"/>
          <w:numId w:val="33"/>
        </w:numPr>
        <w:kinsoku/>
        <w:jc w:val="both"/>
      </w:pPr>
      <w:r>
        <w:t>specyfikacje techniczne wykonania i odbioru robót (</w:t>
      </w:r>
      <w:proofErr w:type="spellStart"/>
      <w:r>
        <w:t>STWiOR</w:t>
      </w:r>
      <w:proofErr w:type="spellEnd"/>
      <w:r>
        <w:t>) – załącznik nr 10 do SIWZ,</w:t>
      </w:r>
    </w:p>
    <w:p w:rsidR="00646E38" w:rsidRDefault="00646E38" w:rsidP="00646E38">
      <w:pPr>
        <w:pStyle w:val="Akapitzlist"/>
        <w:numPr>
          <w:ilvl w:val="0"/>
          <w:numId w:val="33"/>
        </w:numPr>
      </w:pPr>
      <w:r>
        <w:t>specyfikacja istotnych warunków zamówienia - SIWZ</w:t>
      </w:r>
    </w:p>
    <w:p w:rsidR="00646E38" w:rsidRDefault="00646E38" w:rsidP="00646E38">
      <w:pPr>
        <w:widowControl/>
        <w:kinsoku/>
        <w:ind w:left="720"/>
        <w:jc w:val="both"/>
      </w:pPr>
    </w:p>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646E38">
        <w:rPr>
          <w:b/>
        </w:rPr>
        <w:t>28</w:t>
      </w:r>
      <w:r w:rsidR="002D1B33">
        <w:rPr>
          <w:b/>
        </w:rPr>
        <w:t xml:space="preserve"> </w:t>
      </w:r>
      <w:r w:rsidR="00646E38">
        <w:rPr>
          <w:b/>
        </w:rPr>
        <w:t xml:space="preserve">września </w:t>
      </w:r>
      <w:r w:rsidRPr="0048580D">
        <w:rPr>
          <w:b/>
        </w:rPr>
        <w:t>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Pr="009637FB" w:rsidRDefault="00485A79" w:rsidP="00011738">
      <w:pPr>
        <w:widowControl/>
        <w:numPr>
          <w:ilvl w:val="0"/>
          <w:numId w:val="9"/>
        </w:numPr>
        <w:kinsoku/>
        <w:jc w:val="both"/>
      </w:pPr>
      <w:r>
        <w:t xml:space="preserve">Faktura VAT prawidłowo wystawiona wraz z dokumentami rozliczeniowymi płatna będzie w terminie </w:t>
      </w:r>
      <w:r w:rsidR="00C66A7D">
        <w:rPr>
          <w:b/>
        </w:rPr>
        <w:t>21</w:t>
      </w:r>
      <w:r w:rsidRPr="00442B6C">
        <w:rPr>
          <w:b/>
        </w:rPr>
        <w:t xml:space="preserve"> dni</w:t>
      </w:r>
      <w:r>
        <w:t xml:space="preserve"> od daty jej doręczenia Zamawiającemu.</w:t>
      </w: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 xml:space="preserve">i 30% z w/w kwoty  - tj. </w:t>
      </w:r>
      <w:r>
        <w:lastRenderedPageBreak/>
        <w:t>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lastRenderedPageBreak/>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 xml:space="preserve">Wykonawca ponosi odpowiedzialność na zasadach ogólnych za szkody wynikłe na placu budowy lub wyrządzone w związku z wykonaniem przedmiotu umowy aż do chwili zakończenia prac i odebrania przez Zamawiającego, w szczególności za szkody </w:t>
      </w:r>
      <w:r w:rsidRPr="002A6FAA">
        <w:rPr>
          <w:lang w:eastAsia="en-US"/>
        </w:rPr>
        <w:lastRenderedPageBreak/>
        <w:t>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 xml:space="preserve">ma prawo sprawdzić wykonanie robót i o wykrytych wadach oraz usterkach poinformować niezwłocznie Wykonawcę, poprzez </w:t>
      </w:r>
      <w:r w:rsidR="00AE4C54">
        <w:t>poinformowanie</w:t>
      </w:r>
      <w:r>
        <w:t xml:space="preserve">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 xml:space="preserve">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w:t>
      </w:r>
      <w:r>
        <w:lastRenderedPageBreak/>
        <w:t>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Pr="002D1B33">
        <w:rPr>
          <w:b/>
          <w:lang w:eastAsia="en-US"/>
        </w:rPr>
        <w:t>60 miesięcy</w:t>
      </w:r>
      <w:r w:rsidRPr="007C0F08">
        <w:rPr>
          <w:lang w:eastAsia="en-US"/>
        </w:rPr>
        <w:t>, który to okres liczony będzie od dnia podpisania końcowego protokołu odbioru przedmiotu umowy bez uwag.</w:t>
      </w:r>
    </w:p>
    <w:p w:rsidR="00485A79" w:rsidRDefault="00485A79" w:rsidP="00B7539C">
      <w:pPr>
        <w:widowControl/>
        <w:numPr>
          <w:ilvl w:val="0"/>
          <w:numId w:val="14"/>
        </w:numPr>
        <w:kinsoku/>
        <w:jc w:val="both"/>
      </w:pPr>
      <w:r>
        <w:t xml:space="preserve">Wykonawca udziela Zamawiającemu ……. </w:t>
      </w:r>
      <w:r w:rsidRPr="00BA6068">
        <w:rPr>
          <w:b/>
        </w:rPr>
        <w:t>miesięcy gwarancji jakości</w:t>
      </w:r>
      <w:r>
        <w:t xml:space="preserve"> na wykonane roboty, określone w §1 umowy, licząc od dnia podpisania bezusterkowego protokołu odbioru końcowego robót.</w:t>
      </w:r>
    </w:p>
    <w:p w:rsidR="00485A79" w:rsidRDefault="00485A79" w:rsidP="00B7539C">
      <w:pPr>
        <w:widowControl/>
        <w:numPr>
          <w:ilvl w:val="0"/>
          <w:numId w:val="14"/>
        </w:numPr>
        <w:kinsoku/>
        <w:jc w:val="both"/>
      </w:pPr>
      <w:r>
        <w:lastRenderedPageBreak/>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xml:space="preserve">.), osoby realizujące przedmiot zamówienia będą zatrudnione na podstawie umowy o pracę, w wymiarze czasu pracy 1 etat; </w:t>
      </w:r>
      <w:r w:rsidRPr="00AE4C54">
        <w:rPr>
          <w:lang w:eastAsia="en-US"/>
        </w:rPr>
        <w:t xml:space="preserve">minimum </w:t>
      </w:r>
      <w:r w:rsidR="003A5A6D" w:rsidRPr="00AE4C54">
        <w:rPr>
          <w:lang w:eastAsia="en-US"/>
        </w:rPr>
        <w:t>3</w:t>
      </w:r>
      <w:r w:rsidRPr="00AE4C54">
        <w:rPr>
          <w:lang w:eastAsia="en-US"/>
        </w:rPr>
        <w:t xml:space="preserve"> osób </w:t>
      </w:r>
      <w:r w:rsidRPr="00AA1206">
        <w:rPr>
          <w:lang w:eastAsia="en-US"/>
        </w:rPr>
        <w:t>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lastRenderedPageBreak/>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lastRenderedPageBreak/>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005A60FA">
        <w:t>ppkt</w:t>
      </w:r>
      <w:proofErr w:type="spellEnd"/>
      <w:r w:rsidR="005A60FA">
        <w:t xml:space="preserve"> a-d</w:t>
      </w:r>
      <w:bookmarkStart w:id="0" w:name="_GoBack"/>
      <w:bookmarkEnd w:id="0"/>
      <w:r w:rsidRPr="00AE4C54">
        <w:t xml:space="preserve">); </w:t>
      </w:r>
      <w:r w:rsidRPr="003D159E">
        <w:t xml:space="preserve">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D44AE5" w:rsidRDefault="00485A79" w:rsidP="00AA1206">
      <w:r>
        <w:t xml:space="preserve">      </w:t>
      </w:r>
    </w:p>
    <w:p w:rsidR="00D44AE5" w:rsidRDefault="00D44AE5" w:rsidP="00AA1206"/>
    <w:p w:rsidR="00D44AE5" w:rsidRDefault="00D44AE5" w:rsidP="00AA1206"/>
    <w:p w:rsidR="00D44AE5" w:rsidRDefault="00D44AE5" w:rsidP="00AA1206"/>
    <w:p w:rsidR="00D44AE5" w:rsidRDefault="00D44AE5" w:rsidP="00AA1206"/>
    <w:p w:rsidR="00485A79" w:rsidRDefault="00485A79" w:rsidP="00AA1206">
      <w:r>
        <w:t xml:space="preserve"> ZAMAWIAJĄCY:</w:t>
      </w:r>
      <w:r>
        <w:tab/>
      </w:r>
      <w:r>
        <w:tab/>
      </w:r>
      <w:r>
        <w:tab/>
      </w:r>
      <w:r>
        <w:tab/>
      </w:r>
      <w:r>
        <w:tab/>
      </w:r>
      <w:r>
        <w:tab/>
        <w:t xml:space="preserve">   WYKONAWCA:</w:t>
      </w:r>
    </w:p>
    <w:p w:rsidR="00D44AE5" w:rsidRDefault="00D44AE5" w:rsidP="00AA1206"/>
    <w:p w:rsidR="00D44AE5" w:rsidRDefault="00D44AE5" w:rsidP="00AA1206"/>
    <w:p w:rsidR="00D44AE5" w:rsidRDefault="00D44AE5" w:rsidP="00AA1206"/>
    <w:p w:rsidR="00D44AE5" w:rsidRDefault="00D44AE5" w:rsidP="00AA1206"/>
    <w:p w:rsidR="00485A79" w:rsidRPr="00363FB4" w:rsidRDefault="00485A79" w:rsidP="009F7773">
      <w:r>
        <w:t>................................................                                                     .................................................</w:t>
      </w:r>
    </w:p>
    <w:p w:rsidR="00D44AE5" w:rsidRDefault="00D44AE5" w:rsidP="009F7773"/>
    <w:p w:rsidR="00D44AE5" w:rsidRDefault="00D44AE5" w:rsidP="009F7773"/>
    <w:p w:rsidR="00D44AE5" w:rsidRDefault="00D44AE5" w:rsidP="009F7773"/>
    <w:p w:rsidR="00D44AE5" w:rsidRDefault="00D44AE5" w:rsidP="009F7773"/>
    <w:p w:rsidR="00D44AE5" w:rsidRDefault="00D44AE5" w:rsidP="009F7773"/>
    <w:p w:rsidR="00D44AE5" w:rsidRDefault="00D44AE5" w:rsidP="009F7773"/>
    <w:p w:rsidR="00485A79" w:rsidRPr="004A000C" w:rsidRDefault="00485A79" w:rsidP="009F7773">
      <w:r w:rsidRPr="004A000C">
        <w:t>Załączniki:</w:t>
      </w:r>
    </w:p>
    <w:p w:rsidR="00485A79" w:rsidRPr="004A000C" w:rsidRDefault="00D44AE5" w:rsidP="009F7773">
      <w:r>
        <w:t>- załącznik nr 1</w:t>
      </w:r>
      <w:r w:rsidR="00485A79" w:rsidRPr="00FC77C5">
        <w:t xml:space="preserve">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401" w:rsidRDefault="00E84401" w:rsidP="00007A17">
      <w:r>
        <w:separator/>
      </w:r>
    </w:p>
  </w:endnote>
  <w:endnote w:type="continuationSeparator" w:id="0">
    <w:p w:rsidR="00E84401" w:rsidRDefault="00E84401"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5A60FA">
      <w:rPr>
        <w:noProof/>
      </w:rPr>
      <w:t>11</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401" w:rsidRDefault="00E84401" w:rsidP="00007A17">
      <w:r>
        <w:separator/>
      </w:r>
    </w:p>
  </w:footnote>
  <w:footnote w:type="continuationSeparator" w:id="0">
    <w:p w:rsidR="00E84401" w:rsidRDefault="00E84401"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33"/>
  </w:num>
  <w:num w:numId="3">
    <w:abstractNumId w:val="12"/>
  </w:num>
  <w:num w:numId="4">
    <w:abstractNumId w:val="11"/>
  </w:num>
  <w:num w:numId="5">
    <w:abstractNumId w:val="23"/>
  </w:num>
  <w:num w:numId="6">
    <w:abstractNumId w:val="13"/>
  </w:num>
  <w:num w:numId="7">
    <w:abstractNumId w:val="9"/>
  </w:num>
  <w:num w:numId="8">
    <w:abstractNumId w:val="24"/>
  </w:num>
  <w:num w:numId="9">
    <w:abstractNumId w:val="15"/>
  </w:num>
  <w:num w:numId="10">
    <w:abstractNumId w:val="3"/>
  </w:num>
  <w:num w:numId="11">
    <w:abstractNumId w:val="30"/>
  </w:num>
  <w:num w:numId="12">
    <w:abstractNumId w:val="6"/>
  </w:num>
  <w:num w:numId="13">
    <w:abstractNumId w:val="31"/>
  </w:num>
  <w:num w:numId="14">
    <w:abstractNumId w:val="8"/>
  </w:num>
  <w:num w:numId="15">
    <w:abstractNumId w:val="17"/>
  </w:num>
  <w:num w:numId="16">
    <w:abstractNumId w:val="2"/>
  </w:num>
  <w:num w:numId="17">
    <w:abstractNumId w:val="32"/>
  </w:num>
  <w:num w:numId="18">
    <w:abstractNumId w:val="5"/>
  </w:num>
  <w:num w:numId="19">
    <w:abstractNumId w:val="19"/>
  </w:num>
  <w:num w:numId="20">
    <w:abstractNumId w:val="27"/>
  </w:num>
  <w:num w:numId="21">
    <w:abstractNumId w:val="26"/>
  </w:num>
  <w:num w:numId="22">
    <w:abstractNumId w:val="16"/>
  </w:num>
  <w:num w:numId="23">
    <w:abstractNumId w:val="7"/>
  </w:num>
  <w:num w:numId="24">
    <w:abstractNumId w:val="25"/>
  </w:num>
  <w:num w:numId="25">
    <w:abstractNumId w:val="1"/>
  </w:num>
  <w:num w:numId="26">
    <w:abstractNumId w:val="29"/>
  </w:num>
  <w:num w:numId="27">
    <w:abstractNumId w:val="4"/>
  </w:num>
  <w:num w:numId="28">
    <w:abstractNumId w:val="10"/>
  </w:num>
  <w:num w:numId="29">
    <w:abstractNumId w:val="21"/>
  </w:num>
  <w:num w:numId="30">
    <w:abstractNumId w:val="14"/>
  </w:num>
  <w:num w:numId="31">
    <w:abstractNumId w:val="18"/>
  </w:num>
  <w:num w:numId="32">
    <w:abstractNumId w:val="2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3289B"/>
    <w:rsid w:val="000560A3"/>
    <w:rsid w:val="0007147D"/>
    <w:rsid w:val="0007162A"/>
    <w:rsid w:val="000A431C"/>
    <w:rsid w:val="000B060B"/>
    <w:rsid w:val="000D7587"/>
    <w:rsid w:val="000F340A"/>
    <w:rsid w:val="00106FB8"/>
    <w:rsid w:val="00130A45"/>
    <w:rsid w:val="00130E84"/>
    <w:rsid w:val="00144D24"/>
    <w:rsid w:val="00167646"/>
    <w:rsid w:val="001B1F85"/>
    <w:rsid w:val="001D0B6F"/>
    <w:rsid w:val="001E1538"/>
    <w:rsid w:val="001E7BE1"/>
    <w:rsid w:val="00236B7F"/>
    <w:rsid w:val="002443AD"/>
    <w:rsid w:val="00245C34"/>
    <w:rsid w:val="00246004"/>
    <w:rsid w:val="002769FC"/>
    <w:rsid w:val="00277B45"/>
    <w:rsid w:val="002A6FAA"/>
    <w:rsid w:val="002B5766"/>
    <w:rsid w:val="002D1B33"/>
    <w:rsid w:val="00303B08"/>
    <w:rsid w:val="003046FE"/>
    <w:rsid w:val="00311C6D"/>
    <w:rsid w:val="00320CE9"/>
    <w:rsid w:val="00360259"/>
    <w:rsid w:val="00363FB4"/>
    <w:rsid w:val="00397290"/>
    <w:rsid w:val="003A5A6D"/>
    <w:rsid w:val="003B2AAF"/>
    <w:rsid w:val="003D09CD"/>
    <w:rsid w:val="003D159E"/>
    <w:rsid w:val="003D2871"/>
    <w:rsid w:val="003F450A"/>
    <w:rsid w:val="003F4CFB"/>
    <w:rsid w:val="003F770E"/>
    <w:rsid w:val="0040472E"/>
    <w:rsid w:val="00422AF6"/>
    <w:rsid w:val="00424813"/>
    <w:rsid w:val="00442B6C"/>
    <w:rsid w:val="00452CAB"/>
    <w:rsid w:val="00470567"/>
    <w:rsid w:val="00477A13"/>
    <w:rsid w:val="0048580D"/>
    <w:rsid w:val="00485A79"/>
    <w:rsid w:val="004A000C"/>
    <w:rsid w:val="004A1B3A"/>
    <w:rsid w:val="004B3AA3"/>
    <w:rsid w:val="004D60F6"/>
    <w:rsid w:val="004E6881"/>
    <w:rsid w:val="004F6316"/>
    <w:rsid w:val="00501418"/>
    <w:rsid w:val="0050355F"/>
    <w:rsid w:val="00555DCE"/>
    <w:rsid w:val="00573F04"/>
    <w:rsid w:val="00582A7A"/>
    <w:rsid w:val="005A60FA"/>
    <w:rsid w:val="005B1147"/>
    <w:rsid w:val="005B54B9"/>
    <w:rsid w:val="005C4FAB"/>
    <w:rsid w:val="005D7DA1"/>
    <w:rsid w:val="005F21D6"/>
    <w:rsid w:val="005F39CE"/>
    <w:rsid w:val="00600E31"/>
    <w:rsid w:val="00646E38"/>
    <w:rsid w:val="006C1622"/>
    <w:rsid w:val="006C5C67"/>
    <w:rsid w:val="006D05DA"/>
    <w:rsid w:val="007035EE"/>
    <w:rsid w:val="007065F9"/>
    <w:rsid w:val="00737D7C"/>
    <w:rsid w:val="00737DE3"/>
    <w:rsid w:val="00765C8C"/>
    <w:rsid w:val="00767C2D"/>
    <w:rsid w:val="00783710"/>
    <w:rsid w:val="00791DB5"/>
    <w:rsid w:val="007B33EA"/>
    <w:rsid w:val="007C0F08"/>
    <w:rsid w:val="007C1074"/>
    <w:rsid w:val="007C16F7"/>
    <w:rsid w:val="007D31D8"/>
    <w:rsid w:val="007D51F6"/>
    <w:rsid w:val="008025ED"/>
    <w:rsid w:val="00831DB3"/>
    <w:rsid w:val="008478CE"/>
    <w:rsid w:val="0085049A"/>
    <w:rsid w:val="00867282"/>
    <w:rsid w:val="00875E15"/>
    <w:rsid w:val="008D59DC"/>
    <w:rsid w:val="008E03A0"/>
    <w:rsid w:val="00914D06"/>
    <w:rsid w:val="00925DB7"/>
    <w:rsid w:val="009376EC"/>
    <w:rsid w:val="00960E3C"/>
    <w:rsid w:val="00962588"/>
    <w:rsid w:val="009637FB"/>
    <w:rsid w:val="009639D4"/>
    <w:rsid w:val="00971320"/>
    <w:rsid w:val="00974FE8"/>
    <w:rsid w:val="009813DB"/>
    <w:rsid w:val="009872A9"/>
    <w:rsid w:val="009A7CA3"/>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4C54"/>
    <w:rsid w:val="00AE74BF"/>
    <w:rsid w:val="00AF2D87"/>
    <w:rsid w:val="00B15028"/>
    <w:rsid w:val="00B15AB4"/>
    <w:rsid w:val="00B31171"/>
    <w:rsid w:val="00B62200"/>
    <w:rsid w:val="00B65AC9"/>
    <w:rsid w:val="00B702EB"/>
    <w:rsid w:val="00B72DBE"/>
    <w:rsid w:val="00B7539C"/>
    <w:rsid w:val="00B84BB5"/>
    <w:rsid w:val="00B9530C"/>
    <w:rsid w:val="00BA3CE0"/>
    <w:rsid w:val="00BA6068"/>
    <w:rsid w:val="00BC3AC6"/>
    <w:rsid w:val="00BD1840"/>
    <w:rsid w:val="00BF57D4"/>
    <w:rsid w:val="00C0449E"/>
    <w:rsid w:val="00C15366"/>
    <w:rsid w:val="00C3115A"/>
    <w:rsid w:val="00C447AA"/>
    <w:rsid w:val="00C51EE5"/>
    <w:rsid w:val="00C52B33"/>
    <w:rsid w:val="00C65BE1"/>
    <w:rsid w:val="00C66A7D"/>
    <w:rsid w:val="00C701A5"/>
    <w:rsid w:val="00C80D4D"/>
    <w:rsid w:val="00C87ABD"/>
    <w:rsid w:val="00CA0D03"/>
    <w:rsid w:val="00CA7DA2"/>
    <w:rsid w:val="00CD3147"/>
    <w:rsid w:val="00CD3B02"/>
    <w:rsid w:val="00CE3FA5"/>
    <w:rsid w:val="00D42038"/>
    <w:rsid w:val="00D44AE5"/>
    <w:rsid w:val="00D51253"/>
    <w:rsid w:val="00D52EBE"/>
    <w:rsid w:val="00D53C38"/>
    <w:rsid w:val="00D67204"/>
    <w:rsid w:val="00D73364"/>
    <w:rsid w:val="00D92F36"/>
    <w:rsid w:val="00DC6468"/>
    <w:rsid w:val="00E06A39"/>
    <w:rsid w:val="00E1570E"/>
    <w:rsid w:val="00E27179"/>
    <w:rsid w:val="00E41414"/>
    <w:rsid w:val="00E4395C"/>
    <w:rsid w:val="00E52B98"/>
    <w:rsid w:val="00E72057"/>
    <w:rsid w:val="00E84401"/>
    <w:rsid w:val="00E945A3"/>
    <w:rsid w:val="00EA3DC9"/>
    <w:rsid w:val="00EA6C89"/>
    <w:rsid w:val="00EB0ED2"/>
    <w:rsid w:val="00EB5C9A"/>
    <w:rsid w:val="00ED1841"/>
    <w:rsid w:val="00ED565B"/>
    <w:rsid w:val="00F01575"/>
    <w:rsid w:val="00F41207"/>
    <w:rsid w:val="00F82E2A"/>
    <w:rsid w:val="00FC3DB3"/>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B5B24F"/>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4424</Words>
  <Characters>26544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3</cp:revision>
  <cp:lastPrinted>2018-07-30T10:43:00Z</cp:lastPrinted>
  <dcterms:created xsi:type="dcterms:W3CDTF">2018-07-30T09:05:00Z</dcterms:created>
  <dcterms:modified xsi:type="dcterms:W3CDTF">2018-07-30T10:48:00Z</dcterms:modified>
</cp:coreProperties>
</file>